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D90EB" w14:textId="77777777" w:rsidR="005568BA" w:rsidRPr="005568BA" w:rsidRDefault="005568BA" w:rsidP="005568BA">
      <w:pPr>
        <w:spacing w:after="240" w:line="240" w:lineRule="auto"/>
        <w:rPr>
          <w:rFonts w:ascii="inherit" w:eastAsia="Times New Roman" w:hAnsi="inherit" w:cs="Times New Roman"/>
          <w:color w:val="000000"/>
          <w:sz w:val="24"/>
          <w:szCs w:val="24"/>
          <w:u w:val="single"/>
        </w:rPr>
      </w:pPr>
      <w:bookmarkStart w:id="0" w:name="_GoBack"/>
      <w:bookmarkEnd w:id="0"/>
    </w:p>
    <w:p w14:paraId="34CD3C92"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The text is our only reference in the class. Please summarize applications and legal principles in your own words to show understanding.</w:t>
      </w:r>
    </w:p>
    <w:p w14:paraId="40998588"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Write any time with questions about the text or assignments.</w:t>
      </w:r>
    </w:p>
    <w:p w14:paraId="5CA479BD"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 xml:space="preserve">Read Chapters 24-25. Answer review questions and </w:t>
      </w:r>
      <w:r w:rsidRPr="005568BA">
        <w:rPr>
          <w:rFonts w:ascii="Times New Roman" w:eastAsia="Times New Roman" w:hAnsi="Times New Roman" w:cs="Times New Roman"/>
          <w:bCs/>
          <w:color w:val="000000"/>
          <w:sz w:val="24"/>
          <w:szCs w:val="24"/>
          <w:u w:val="single"/>
          <w:bdr w:val="none" w:sz="0" w:space="0" w:color="auto" w:frame="1"/>
        </w:rPr>
        <w:t>participate in a class discussion posted below.</w:t>
      </w:r>
    </w:p>
    <w:p w14:paraId="2CDF1E81" w14:textId="77777777" w:rsidR="005568BA" w:rsidRPr="005568BA" w:rsidRDefault="00E86B81"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14:paraId="06A20259" w14:textId="77777777" w:rsidR="005D44DE" w:rsidRPr="005D44DE" w:rsidRDefault="00E86B81" w:rsidP="005D44DE">
      <w:pPr>
        <w:numPr>
          <w:ilvl w:val="0"/>
          <w:numId w:val="1"/>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Why are negotiable instruments vital in commerce and what is necessary to create a financial instrument that can be freely transferred to others?</w:t>
      </w:r>
    </w:p>
    <w:p w14:paraId="1040CEC0" w14:textId="77777777" w:rsidR="005D44DE" w:rsidRDefault="005D44DE" w:rsidP="005D44DE">
      <w:pPr>
        <w:spacing w:after="0" w:line="240" w:lineRule="auto"/>
        <w:rPr>
          <w:rFonts w:ascii="inherit" w:eastAsia="Times New Roman" w:hAnsi="inherit" w:cs="Times New Roman"/>
          <w:color w:val="000000"/>
          <w:sz w:val="24"/>
          <w:szCs w:val="24"/>
          <w:bdr w:val="none" w:sz="0" w:space="0" w:color="auto" w:frame="1"/>
        </w:rPr>
      </w:pPr>
    </w:p>
    <w:p w14:paraId="21485AFE" w14:textId="77777777" w:rsidR="005D44DE" w:rsidRPr="005568BA" w:rsidRDefault="00E86B81" w:rsidP="005568BA">
      <w:pPr>
        <w:spacing w:after="240" w:line="240" w:lineRule="auto"/>
        <w:rPr>
          <w:rFonts w:ascii="inherit" w:eastAsia="Times New Roman" w:hAnsi="inherit" w:cs="Times New Roman"/>
          <w:color w:val="000000"/>
          <w:sz w:val="24"/>
          <w:szCs w:val="24"/>
        </w:rPr>
      </w:pPr>
      <w:r w:rsidRPr="005D44DE">
        <w:rPr>
          <w:rFonts w:ascii="inherit" w:eastAsia="Times New Roman" w:hAnsi="inherit" w:cs="Times New Roman"/>
          <w:noProof/>
          <w:color w:val="000000"/>
          <w:sz w:val="24"/>
          <w:szCs w:val="24"/>
          <w:bdr w:val="none" w:sz="0" w:space="0" w:color="auto" w:frame="1"/>
        </w:rPr>
        <mc:AlternateContent>
          <mc:Choice Requires="wps">
            <w:drawing>
              <wp:anchor distT="45720" distB="45720" distL="114300" distR="114300" simplePos="0" relativeHeight="251659264" behindDoc="0" locked="0" layoutInCell="1" allowOverlap="1" wp14:anchorId="11EE065B" wp14:editId="73769DA2">
                <wp:simplePos x="0" y="0"/>
                <wp:positionH relativeFrom="margin">
                  <wp:align>left</wp:align>
                </wp:positionH>
                <wp:positionV relativeFrom="paragraph">
                  <wp:posOffset>8890</wp:posOffset>
                </wp:positionV>
                <wp:extent cx="5534025" cy="1162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162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476A76" w14:textId="77777777" w:rsidR="006C5DBE" w:rsidRDefault="00E86B81">
                            <w:r>
                              <w:t>Negotiable instruments in commerce allow traders to redu</w:t>
                            </w:r>
                            <w:r>
                              <w:t>ce the risks of carrying huge amounts of money while providing certainty in receiving and sending payments. Therefore, creating a freely financial instrument to transfer funds, directly translates to ideal customer experience, hence an uptrend for the busi</w:t>
                            </w:r>
                            <w:r>
                              <w:t>ness at hand.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5.75pt;height:91.5pt;margin-top:0.7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58240" fillcolor="white" stroked="t" strokecolor="#4472c4" strokeweight="1pt">
                <v:textbox>
                  <w:txbxContent>
                    <w:p w:rsidR="006C5DBE" w14:paraId="7E5EF4FD" w14:textId="125D145F">
                      <w:r>
                        <w:t>Negotiable instruments in commerce allow traders to reduce the risks of carrying huge amounts of money while providing certainty in receiving and sending payments. Therefore, creating a freely financial instrument to transfer funds, directly translates to ideal customer experience, hence an uptrend for the business at hand. 
</w:t>
                      </w:r>
                    </w:p>
                  </w:txbxContent>
                </v:textbox>
                <w10:wrap type="square"/>
              </v:shape>
            </w:pict>
          </mc:Fallback>
        </mc:AlternateContent>
      </w:r>
    </w:p>
    <w:p w14:paraId="6FD7816F" w14:textId="77777777" w:rsidR="005568BA" w:rsidRPr="005D44DE" w:rsidRDefault="00E86B81" w:rsidP="005D44DE">
      <w:pPr>
        <w:numPr>
          <w:ilvl w:val="0"/>
          <w:numId w:val="2"/>
        </w:numPr>
        <w:spacing w:after="0" w:line="240" w:lineRule="auto"/>
        <w:ind w:left="0"/>
        <w:rPr>
          <w:rFonts w:ascii="inherit" w:eastAsia="Times New Roman" w:hAnsi="inherit" w:cs="Times New Roman"/>
          <w:color w:val="000000"/>
          <w:sz w:val="24"/>
          <w:szCs w:val="24"/>
        </w:rPr>
      </w:pPr>
      <w:r w:rsidRPr="005D44DE">
        <w:rPr>
          <w:rFonts w:ascii="inherit" w:eastAsia="Times New Roman" w:hAnsi="inherit" w:cs="Times New Roman"/>
          <w:color w:val="000000"/>
          <w:sz w:val="24"/>
          <w:szCs w:val="24"/>
          <w:bdr w:val="none" w:sz="0" w:space="0" w:color="auto" w:frame="1"/>
        </w:rPr>
        <w:t>Describe the creation of 3 types of negotiable instruments.</w:t>
      </w:r>
    </w:p>
    <w:p w14:paraId="398D843F" w14:textId="77777777" w:rsidR="005568BA" w:rsidRDefault="00E86B81" w:rsidP="005568BA">
      <w:pPr>
        <w:spacing w:after="240" w:line="240" w:lineRule="auto"/>
        <w:rPr>
          <w:rFonts w:ascii="inherit" w:eastAsia="Times New Roman" w:hAnsi="inherit" w:cs="Times New Roman"/>
          <w:color w:val="000000"/>
          <w:sz w:val="24"/>
          <w:szCs w:val="24"/>
        </w:rPr>
      </w:pPr>
      <w:r w:rsidRPr="005D44DE">
        <w:rPr>
          <w:rFonts w:ascii="inherit" w:eastAsia="Times New Roman" w:hAnsi="inherit" w:cs="Times New Roman"/>
          <w:noProof/>
          <w:color w:val="000000"/>
          <w:sz w:val="24"/>
          <w:szCs w:val="24"/>
          <w:bdr w:val="none" w:sz="0" w:space="0" w:color="auto" w:frame="1"/>
        </w:rPr>
        <mc:AlternateContent>
          <mc:Choice Requires="wps">
            <w:drawing>
              <wp:anchor distT="45720" distB="45720" distL="114300" distR="114300" simplePos="0" relativeHeight="251661312" behindDoc="0" locked="0" layoutInCell="1" allowOverlap="1" wp14:anchorId="288A421E" wp14:editId="5B1752E3">
                <wp:simplePos x="0" y="0"/>
                <wp:positionH relativeFrom="margin">
                  <wp:align>left</wp:align>
                </wp:positionH>
                <wp:positionV relativeFrom="paragraph">
                  <wp:posOffset>165735</wp:posOffset>
                </wp:positionV>
                <wp:extent cx="5534025" cy="202882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20288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12D6C30" w14:textId="77777777" w:rsidR="006C5DBE" w:rsidRDefault="00E86B81" w:rsidP="005D44DE">
                            <w:r>
                              <w:t xml:space="preserve">Cheques – Cheques were initially used as banking tools in medieval Italy and Catalonia, where bankers accepted the transfer of funds or withdrawals from the reserve </w:t>
                            </w:r>
                            <w:r>
                              <w:t>owners, in a written form.</w:t>
                            </w:r>
                          </w:p>
                          <w:p w14:paraId="069C34A0" w14:textId="77777777" w:rsidR="006C5DBE" w:rsidRDefault="00E86B81" w:rsidP="005D44DE">
                            <w:r>
                              <w:t>Bill of exchange – The method was originally used to settling payments in foreign bills in the global trades and is thought to have emerged through the Florentine Jews.</w:t>
                            </w:r>
                          </w:p>
                          <w:p w14:paraId="319B80AB" w14:textId="77777777" w:rsidR="006C5DBE" w:rsidRDefault="00E86B81" w:rsidP="005D44DE">
                            <w:r w:rsidRPr="00CD0AAF">
                              <w:t>Promissory Notes</w:t>
                            </w:r>
                            <w:r>
                              <w:t xml:space="preserve"> – The notes are well documented during the </w:t>
                            </w:r>
                            <w:r>
                              <w:t xml:space="preserve">Tang dynasty </w:t>
                            </w:r>
                            <w:r w:rsidRPr="00CD0AAF">
                              <w:t>(618 – 907)</w:t>
                            </w:r>
                            <w:r>
                              <w:t xml:space="preserve">, China and later boomed in Europe during the </w:t>
                            </w:r>
                            <w:r w:rsidRPr="00CD0AAF">
                              <w:t>Renaissance</w:t>
                            </w:r>
                            <w:r>
                              <w:t xml:space="preserve"> period. Both societies used the promissory notes as a substitute for money, either to trade or exchange with real currency.  </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35.75pt;height:159.75pt;margin-top:13.05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60288" fillcolor="white" stroked="t" strokecolor="#4472c4" strokeweight="1pt">
                <v:textbox>
                  <w:txbxContent>
                    <w:p w:rsidR="006C5DBE" w:rsidP="005D44DE" w14:paraId="5A307491" w14:textId="0141F07A">
                      <w:r>
                        <w:t>Cheques – Cheques were initially used as banking tools in medieval Italy and Catalonia, where bankers accepted the transfer of funds or withdrawals from the reserve owners, in a written form.
</w:t>
                      </w:r>
                    </w:p>
                    <w:p w:rsidR="006C5DBE" w:rsidP="005D44DE" w14:paraId="59B33696" w14:textId="048661CB">
                      <w:r>
                        <w:t>Bill of exchange – The method was originally used to settling payments in foreign bills in the global trades and is thought to have emerged through the Florentine Jews.
</w:t>
                      </w:r>
                    </w:p>
                    <w:p w:rsidR="006C5DBE" w:rsidP="005D44DE" w14:paraId="32626E35" w14:textId="3BC07262">
                      <w:r w:rsidRPr="00CD0AAF">
                        <w:t>Promissory Notes</w:t>
                      </w:r>
                      <w:r>
                        <w:t xml:space="preserve"> – The notes are well documented during the Tang dynasty </w:t>
                      </w:r>
                      <w:r w:rsidRPr="00CD0AAF">
                        <w:t>(618 – 907)</w:t>
                      </w:r>
                      <w:r>
                        <w:t xml:space="preserve">, China and later boomed in Europe during the </w:t>
                      </w:r>
                      <w:r w:rsidRPr="00CD0AAF">
                        <w:t>Renaissance</w:t>
                      </w:r>
                      <w:r>
                        <w:t xml:space="preserve"> period. Both societies used the promissory notes as a substitute for money, either to trade or exchange with real currency.
</w:t>
                      </w:r>
                    </w:p>
                  </w:txbxContent>
                </v:textbox>
                <w10:wrap type="square"/>
              </v:shape>
            </w:pict>
          </mc:Fallback>
        </mc:AlternateContent>
      </w:r>
    </w:p>
    <w:p w14:paraId="051747B9" w14:textId="77777777" w:rsidR="005D44DE" w:rsidRDefault="005D44DE" w:rsidP="005568BA">
      <w:pPr>
        <w:spacing w:after="240" w:line="240" w:lineRule="auto"/>
        <w:rPr>
          <w:rFonts w:ascii="inherit" w:eastAsia="Times New Roman" w:hAnsi="inherit" w:cs="Times New Roman"/>
          <w:color w:val="000000"/>
          <w:sz w:val="24"/>
          <w:szCs w:val="24"/>
        </w:rPr>
      </w:pPr>
    </w:p>
    <w:p w14:paraId="692727B9" w14:textId="77777777" w:rsidR="005D44DE" w:rsidRPr="005568BA" w:rsidRDefault="005D44DE" w:rsidP="005568BA">
      <w:pPr>
        <w:spacing w:after="240" w:line="240" w:lineRule="auto"/>
        <w:rPr>
          <w:rFonts w:ascii="inherit" w:eastAsia="Times New Roman" w:hAnsi="inherit" w:cs="Times New Roman"/>
          <w:color w:val="000000"/>
          <w:sz w:val="24"/>
          <w:szCs w:val="24"/>
        </w:rPr>
      </w:pPr>
    </w:p>
    <w:p w14:paraId="1E2BC1CB" w14:textId="77777777" w:rsidR="005568BA" w:rsidRPr="00CD0AAF" w:rsidRDefault="00E86B81" w:rsidP="005568BA">
      <w:pPr>
        <w:numPr>
          <w:ilvl w:val="0"/>
          <w:numId w:val="3"/>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Explain how a check passes through the banking system. </w:t>
      </w:r>
    </w:p>
    <w:p w14:paraId="0FB65D91"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62304ED4"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724CFBF8" w14:textId="77777777" w:rsidR="00CD0AAF" w:rsidRDefault="00E86B81" w:rsidP="00CD0AAF">
      <w:pPr>
        <w:spacing w:after="0" w:line="240" w:lineRule="auto"/>
        <w:rPr>
          <w:rFonts w:ascii="inherit" w:eastAsia="Times New Roman" w:hAnsi="inherit" w:cs="Times New Roman"/>
          <w:color w:val="000000"/>
          <w:sz w:val="24"/>
          <w:szCs w:val="24"/>
          <w:bdr w:val="none" w:sz="0" w:space="0" w:color="auto" w:frame="1"/>
        </w:rPr>
      </w:pPr>
      <w:r w:rsidRPr="005D44DE">
        <w:rPr>
          <w:rFonts w:ascii="inherit" w:eastAsia="Times New Roman" w:hAnsi="inherit" w:cs="Times New Roman"/>
          <w:noProof/>
          <w:color w:val="000000"/>
          <w:sz w:val="24"/>
          <w:szCs w:val="24"/>
          <w:bdr w:val="none" w:sz="0" w:space="0" w:color="auto" w:frame="1"/>
        </w:rPr>
        <mc:AlternateContent>
          <mc:Choice Requires="wps">
            <w:drawing>
              <wp:anchor distT="45720" distB="45720" distL="114300" distR="114300" simplePos="0" relativeHeight="251663360" behindDoc="0" locked="0" layoutInCell="1" allowOverlap="1" wp14:anchorId="28D3AE13" wp14:editId="5BC9E00C">
                <wp:simplePos x="0" y="0"/>
                <wp:positionH relativeFrom="margin">
                  <wp:align>left</wp:align>
                </wp:positionH>
                <wp:positionV relativeFrom="paragraph">
                  <wp:posOffset>9525</wp:posOffset>
                </wp:positionV>
                <wp:extent cx="5534025" cy="19907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9907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D35157F" w14:textId="77777777" w:rsidR="006C5DBE" w:rsidRDefault="00E86B81" w:rsidP="00CD0AAF">
                            <w:r>
                              <w:t>A cheque has to be written to the payee first.</w:t>
                            </w:r>
                          </w:p>
                          <w:p w14:paraId="288695C9" w14:textId="77777777" w:rsidR="006C5DBE" w:rsidRDefault="00E86B81" w:rsidP="00CD0AAF">
                            <w:r>
                              <w:t>The payee makes a cheque deposit to the bank.</w:t>
                            </w:r>
                          </w:p>
                          <w:p w14:paraId="4E2D022E" w14:textId="77777777" w:rsidR="006C5DBE" w:rsidRDefault="00E86B81" w:rsidP="00CD0AAF">
                            <w:r>
                              <w:t>The bank validates the cheque and sends it to a clearance unit like the Federal Reserve.</w:t>
                            </w:r>
                          </w:p>
                          <w:p w14:paraId="2FB98776" w14:textId="77777777" w:rsidR="006C5DBE" w:rsidRDefault="00E86B81" w:rsidP="00CD0AAF">
                            <w:r>
                              <w:t xml:space="preserve">If the </w:t>
                            </w:r>
                            <w:r>
                              <w:t>cheque has surpassed 6 months from the time of issue, then it's invalid.</w:t>
                            </w:r>
                          </w:p>
                          <w:p w14:paraId="7B8E9128" w14:textId="77777777" w:rsidR="006C5DBE" w:rsidRDefault="00E86B81" w:rsidP="00CD0AAF">
                            <w:r>
                              <w:t>The clearance unit confirms an entry of money owed to the payee.</w:t>
                            </w:r>
                          </w:p>
                          <w:p w14:paraId="27639CD3" w14:textId="77777777" w:rsidR="006C5DBE" w:rsidRDefault="00E86B81" w:rsidP="00CD0AAF">
                            <w:r>
                              <w:t>The amount listed on the cheque is then credited to the payee’s account.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7" type="#_x0000_t202" style="width:435.75pt;height:156.75pt;margin-top:0.75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62336" fillcolor="white" stroked="t" strokecolor="#4472c4" strokeweight="1pt">
                <v:textbox>
                  <w:txbxContent>
                    <w:p w:rsidR="006C5DBE" w:rsidP="00CD0AAF" w14:paraId="554090E5" w14:textId="11146917">
                      <w:r>
                        <w:t>A cheque has to be written to the payee first.</w:t>
                      </w:r>
                    </w:p>
                    <w:p w:rsidR="006C5DBE" w:rsidP="00CD0AAF" w14:paraId="57105D56" w14:textId="48254E26">
                      <w:r>
                        <w:t>The payee makes a cheque deposit to the bank.</w:t>
                      </w:r>
                    </w:p>
                    <w:p w:rsidR="006C5DBE" w:rsidP="00CD0AAF" w14:paraId="5A33D2A8" w14:textId="54178E7C">
                      <w:r>
                        <w:t>The bank validates the cheque and sends it to a clearance unit like the Federal Reserve.</w:t>
                      </w:r>
                    </w:p>
                    <w:p w:rsidR="006C5DBE" w:rsidP="00CD0AAF" w14:paraId="26C20AE2" w14:textId="4E41332B">
                      <w:r>
                        <w:t>If the cheque has surpassed 6 months from the time of issue, then it's invalid.
</w:t>
                      </w:r>
                    </w:p>
                    <w:p w:rsidR="006C5DBE" w:rsidP="00CD0AAF" w14:paraId="64DF24DA" w14:textId="5444751E">
                      <w:r>
                        <w:t>The clearance unit confirms an entry of money owed to the payee.</w:t>
                      </w:r>
                    </w:p>
                    <w:p w:rsidR="006C5DBE" w:rsidP="00CD0AAF" w14:paraId="614DE905" w14:textId="6C034268">
                      <w:r>
                        <w:t>The amount listed on the cheque is then credited to the payee’s account.</w:t>
                      </w:r>
                    </w:p>
                  </w:txbxContent>
                </v:textbox>
                <w10:wrap type="square"/>
              </v:shape>
            </w:pict>
          </mc:Fallback>
        </mc:AlternateContent>
      </w:r>
    </w:p>
    <w:p w14:paraId="0E6B5AF3"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478CC783"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7ECEBF02"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5C82A86F" w14:textId="77777777" w:rsidR="00CD0AAF" w:rsidRDefault="00CD0AAF" w:rsidP="00CD0AAF">
      <w:pPr>
        <w:spacing w:after="0" w:line="240" w:lineRule="auto"/>
        <w:rPr>
          <w:rFonts w:ascii="inherit" w:eastAsia="Times New Roman" w:hAnsi="inherit" w:cs="Times New Roman"/>
          <w:color w:val="000000"/>
          <w:sz w:val="24"/>
          <w:szCs w:val="24"/>
          <w:bdr w:val="none" w:sz="0" w:space="0" w:color="auto" w:frame="1"/>
        </w:rPr>
      </w:pPr>
    </w:p>
    <w:p w14:paraId="1B849C25" w14:textId="77777777" w:rsidR="00CD0AAF" w:rsidRPr="005568BA" w:rsidRDefault="00CD0AAF" w:rsidP="00CD0AAF">
      <w:pPr>
        <w:spacing w:after="0" w:line="240" w:lineRule="auto"/>
        <w:rPr>
          <w:rFonts w:ascii="inherit" w:eastAsia="Times New Roman" w:hAnsi="inherit" w:cs="Times New Roman"/>
          <w:color w:val="000000"/>
          <w:sz w:val="24"/>
          <w:szCs w:val="24"/>
        </w:rPr>
      </w:pPr>
    </w:p>
    <w:p w14:paraId="4966E78C" w14:textId="77777777" w:rsidR="005568BA" w:rsidRPr="005568BA" w:rsidRDefault="00E86B81"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14:paraId="0BCDB0DE" w14:textId="77777777" w:rsidR="005568BA" w:rsidRPr="005568BA" w:rsidRDefault="00E86B81" w:rsidP="005568BA">
      <w:pPr>
        <w:numPr>
          <w:ilvl w:val="0"/>
          <w:numId w:val="4"/>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lastRenderedPageBreak/>
        <w:t>Sue discovers her check has been stol</w:t>
      </w:r>
      <w:r w:rsidRPr="005568BA">
        <w:rPr>
          <w:rFonts w:ascii="inherit" w:eastAsia="Times New Roman" w:hAnsi="inherit" w:cs="Times New Roman"/>
          <w:color w:val="000000"/>
          <w:sz w:val="24"/>
          <w:szCs w:val="24"/>
          <w:bdr w:val="none" w:sz="0" w:space="0" w:color="auto" w:frame="1"/>
        </w:rPr>
        <w:t>en and forged for purchases at Walmart. Describe the protections or remedies her bank must provide and what actions must Sue take in response to the theft.</w:t>
      </w:r>
    </w:p>
    <w:p w14:paraId="6D06E14E" w14:textId="77777777" w:rsidR="005568BA" w:rsidRDefault="00E86B81" w:rsidP="005568BA">
      <w:pPr>
        <w:spacing w:after="240" w:line="240" w:lineRule="auto"/>
        <w:rPr>
          <w:rFonts w:ascii="inherit" w:eastAsia="Times New Roman" w:hAnsi="inherit" w:cs="Times New Roman"/>
          <w:color w:val="000000"/>
          <w:sz w:val="24"/>
          <w:szCs w:val="24"/>
        </w:rPr>
      </w:pPr>
      <w:r w:rsidRPr="00505B27">
        <w:rPr>
          <w:rFonts w:ascii="inherit" w:eastAsia="Times New Roman" w:hAnsi="inherit" w:cs="Times New Roman"/>
          <w:noProof/>
          <w:color w:val="000000"/>
          <w:sz w:val="24"/>
          <w:szCs w:val="24"/>
        </w:rPr>
        <mc:AlternateContent>
          <mc:Choice Requires="wps">
            <w:drawing>
              <wp:anchor distT="45720" distB="45720" distL="114300" distR="114300" simplePos="0" relativeHeight="251665408" behindDoc="0" locked="0" layoutInCell="1" allowOverlap="1" wp14:anchorId="6AA521B2" wp14:editId="5C0A94BC">
                <wp:simplePos x="0" y="0"/>
                <wp:positionH relativeFrom="margin">
                  <wp:align>left</wp:align>
                </wp:positionH>
                <wp:positionV relativeFrom="paragraph">
                  <wp:posOffset>211455</wp:posOffset>
                </wp:positionV>
                <wp:extent cx="5314950" cy="13620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3620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D67DF3D" w14:textId="77777777" w:rsidR="006C5DBE" w:rsidRDefault="00E86B81">
                            <w:r>
                              <w:t xml:space="preserve">Sue is advised to file for repayment with the bank, immediately she notices the forge. When the bank reviews the situation and affirms the crime, the bank should repay the loss. However, depending on the bank and state laws, there is a stipulated time for </w:t>
                            </w:r>
                            <w:r>
                              <w:t xml:space="preserve">a forged case to be legal; </w:t>
                            </w:r>
                            <w:r w:rsidRPr="0045103F">
                              <w:t>the date the check was cashed to report the theft</w:t>
                            </w:r>
                            <w:r>
                              <w:t>. If the crime occurred at the cost of credential negligence by Sue, it is upon the bank to give extra protection and avoid future crimes.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8" type="#_x0000_t202" style="width:418.5pt;height:107.25pt;margin-top:16.65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64384" fillcolor="white" stroked="t" strokecolor="#4472c4" strokeweight="1pt">
                <v:textbox>
                  <w:txbxContent>
                    <w:p w:rsidR="006C5DBE" w14:paraId="47BE45B5" w14:textId="1962DE39">
                      <w:r>
                        <w:t xml:space="preserve">Sue is advised to file for repayment with the bank, immediately she notices the forge. When the bank reviews the situation and affirms the crime, the bank should repay the loss. However, depending on the bank and state laws, there is a stipulated time for a forged case to be legal; </w:t>
                      </w:r>
                      <w:r w:rsidRPr="0045103F">
                        <w:t>the date the check was cashed to report the theft</w:t>
                      </w:r>
                      <w:r>
                        <w:t>. If the crime occurred at the cost of credential negligence by Sue, it is upon the bank to give extra protection and avoid future crimes.</w:t>
                      </w:r>
                    </w:p>
                  </w:txbxContent>
                </v:textbox>
                <w10:wrap type="square"/>
              </v:shape>
            </w:pict>
          </mc:Fallback>
        </mc:AlternateContent>
      </w:r>
    </w:p>
    <w:p w14:paraId="3BFE5111" w14:textId="77777777" w:rsidR="00505B27" w:rsidRDefault="00505B27" w:rsidP="005568BA">
      <w:pPr>
        <w:spacing w:after="240" w:line="240" w:lineRule="auto"/>
        <w:rPr>
          <w:rFonts w:ascii="inherit" w:eastAsia="Times New Roman" w:hAnsi="inherit" w:cs="Times New Roman"/>
          <w:color w:val="000000"/>
          <w:sz w:val="24"/>
          <w:szCs w:val="24"/>
        </w:rPr>
      </w:pPr>
    </w:p>
    <w:p w14:paraId="2678CA06" w14:textId="77777777" w:rsidR="00505B27" w:rsidRPr="005568BA" w:rsidRDefault="00505B27" w:rsidP="005568BA">
      <w:pPr>
        <w:spacing w:after="240" w:line="240" w:lineRule="auto"/>
        <w:rPr>
          <w:rFonts w:ascii="inherit" w:eastAsia="Times New Roman" w:hAnsi="inherit" w:cs="Times New Roman"/>
          <w:color w:val="000000"/>
          <w:sz w:val="24"/>
          <w:szCs w:val="24"/>
        </w:rPr>
      </w:pPr>
    </w:p>
    <w:p w14:paraId="02EB21A6" w14:textId="77777777" w:rsidR="005568BA" w:rsidRPr="0045103F" w:rsidRDefault="00E86B81" w:rsidP="005568BA">
      <w:pPr>
        <w:numPr>
          <w:ilvl w:val="0"/>
          <w:numId w:val="5"/>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You agree to negotiate with your </w:t>
      </w:r>
      <w:r w:rsidRPr="005568BA">
        <w:rPr>
          <w:rFonts w:ascii="inherit" w:eastAsia="Times New Roman" w:hAnsi="inherit" w:cs="Times New Roman"/>
          <w:color w:val="000000"/>
          <w:sz w:val="24"/>
          <w:szCs w:val="24"/>
          <w:bdr w:val="none" w:sz="0" w:space="0" w:color="auto" w:frame="1"/>
        </w:rPr>
        <w:t>lawyer a 500 dollar check you collected from your renter. Describe what is needed to create a negotiable instrument by endorsement.</w:t>
      </w:r>
    </w:p>
    <w:p w14:paraId="11768C23" w14:textId="77777777" w:rsidR="0045103F" w:rsidRDefault="0045103F" w:rsidP="0045103F">
      <w:pPr>
        <w:spacing w:after="0" w:line="240" w:lineRule="auto"/>
        <w:rPr>
          <w:rFonts w:ascii="inherit" w:eastAsia="Times New Roman" w:hAnsi="inherit" w:cs="Times New Roman"/>
          <w:color w:val="000000"/>
          <w:sz w:val="24"/>
          <w:szCs w:val="24"/>
          <w:bdr w:val="none" w:sz="0" w:space="0" w:color="auto" w:frame="1"/>
        </w:rPr>
      </w:pPr>
    </w:p>
    <w:p w14:paraId="0BEAE25A" w14:textId="77777777" w:rsidR="0045103F" w:rsidRDefault="00E86B81" w:rsidP="0045103F">
      <w:pPr>
        <w:spacing w:after="0" w:line="240" w:lineRule="auto"/>
        <w:rPr>
          <w:rFonts w:ascii="inherit" w:eastAsia="Times New Roman" w:hAnsi="inherit" w:cs="Times New Roman"/>
          <w:color w:val="000000"/>
          <w:sz w:val="24"/>
          <w:szCs w:val="24"/>
          <w:bdr w:val="none" w:sz="0" w:space="0" w:color="auto" w:frame="1"/>
        </w:rPr>
      </w:pPr>
      <w:r w:rsidRPr="00505B27">
        <w:rPr>
          <w:rFonts w:ascii="inherit" w:eastAsia="Times New Roman" w:hAnsi="inherit" w:cs="Times New Roman"/>
          <w:noProof/>
          <w:color w:val="000000"/>
          <w:sz w:val="24"/>
          <w:szCs w:val="24"/>
        </w:rPr>
        <mc:AlternateContent>
          <mc:Choice Requires="wps">
            <w:drawing>
              <wp:anchor distT="45720" distB="45720" distL="114300" distR="114300" simplePos="0" relativeHeight="251667456" behindDoc="0" locked="0" layoutInCell="1" allowOverlap="1" wp14:anchorId="1CF8DFCB" wp14:editId="12AE2D04">
                <wp:simplePos x="0" y="0"/>
                <wp:positionH relativeFrom="margin">
                  <wp:align>left</wp:align>
                </wp:positionH>
                <wp:positionV relativeFrom="paragraph">
                  <wp:posOffset>5080</wp:posOffset>
                </wp:positionV>
                <wp:extent cx="5314950" cy="136207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3620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144BCD4" w14:textId="77777777" w:rsidR="006C5DBE" w:rsidRDefault="00E86B81" w:rsidP="0045103F">
                            <w:r>
                              <w:t xml:space="preserve">An endorsed negotiable instrument like a cheque requires parties themselves. In our case, there is the renter and me as </w:t>
                            </w:r>
                            <w:r>
                              <w:t>the receiver.</w:t>
                            </w:r>
                          </w:p>
                          <w:p w14:paraId="350CDF8B" w14:textId="77777777" w:rsidR="006C5DBE" w:rsidRDefault="00E86B81" w:rsidP="0045103F">
                            <w:r>
                              <w:t>The second requirement would be the signature from the renter. The signature authorizes all the necessary transfers.</w:t>
                            </w:r>
                          </w:p>
                          <w:p w14:paraId="49E898C2" w14:textId="77777777" w:rsidR="006C5DBE" w:rsidRDefault="00E86B81" w:rsidP="0045103F">
                            <w:r>
                              <w:t>The cheque has to authorize one specific individual to negotiate the instrument.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9" type="#_x0000_t202" style="width:418.5pt;height:107.25pt;margin-top:0.4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66432" fillcolor="white" stroked="t" strokecolor="#4472c4" strokeweight="1pt">
                <v:textbox>
                  <w:txbxContent>
                    <w:p w:rsidR="006C5DBE" w:rsidP="0045103F" w14:paraId="0AB4FA3A" w14:textId="06CA30D2">
                      <w:r>
                        <w:t>An endorsed negotiable instrument like a cheque requires parties themselves. In our case, there is the renter and me as the receiver. 
</w:t>
                      </w:r>
                    </w:p>
                    <w:p w:rsidR="006C5DBE" w:rsidP="0045103F" w14:paraId="15BFAE33" w14:textId="17ACE590">
                      <w:r>
                        <w:t>The second requirement would be the signature from the renter. The signature authorizes all the necessary transfers.</w:t>
                      </w:r>
                    </w:p>
                    <w:p w:rsidR="006C5DBE" w:rsidP="0045103F" w14:paraId="5EEF9183" w14:textId="62E90051">
                      <w:r>
                        <w:t>The cheque has to authorize one specific individual to negotiate the instrument.</w:t>
                      </w:r>
                    </w:p>
                  </w:txbxContent>
                </v:textbox>
                <w10:wrap type="square"/>
              </v:shape>
            </w:pict>
          </mc:Fallback>
        </mc:AlternateContent>
      </w:r>
    </w:p>
    <w:p w14:paraId="4CFA53B0" w14:textId="77777777" w:rsidR="0045103F" w:rsidRPr="005568BA" w:rsidRDefault="0045103F" w:rsidP="0045103F">
      <w:pPr>
        <w:spacing w:after="0" w:line="240" w:lineRule="auto"/>
        <w:rPr>
          <w:rFonts w:ascii="inherit" w:eastAsia="Times New Roman" w:hAnsi="inherit" w:cs="Times New Roman"/>
          <w:color w:val="000000"/>
          <w:sz w:val="24"/>
          <w:szCs w:val="24"/>
        </w:rPr>
      </w:pPr>
    </w:p>
    <w:p w14:paraId="3A695B3C" w14:textId="77777777" w:rsidR="005568BA" w:rsidRDefault="005568BA" w:rsidP="005568BA">
      <w:pPr>
        <w:spacing w:after="0" w:line="240" w:lineRule="auto"/>
        <w:rPr>
          <w:rFonts w:ascii="inherit" w:eastAsia="Times New Roman" w:hAnsi="inherit" w:cs="Times New Roman"/>
          <w:color w:val="000000"/>
          <w:sz w:val="24"/>
          <w:szCs w:val="24"/>
        </w:rPr>
      </w:pPr>
    </w:p>
    <w:p w14:paraId="76DDCD88" w14:textId="77777777" w:rsidR="006C5DBE" w:rsidRDefault="006C5DBE" w:rsidP="005568BA">
      <w:pPr>
        <w:spacing w:after="0" w:line="240" w:lineRule="auto"/>
        <w:rPr>
          <w:rFonts w:ascii="inherit" w:eastAsia="Times New Roman" w:hAnsi="inherit" w:cs="Times New Roman"/>
          <w:color w:val="000000"/>
          <w:sz w:val="24"/>
          <w:szCs w:val="24"/>
        </w:rPr>
      </w:pPr>
    </w:p>
    <w:p w14:paraId="3622D836" w14:textId="77777777" w:rsidR="006C5DBE" w:rsidRDefault="006C5DBE" w:rsidP="005568BA">
      <w:pPr>
        <w:spacing w:after="0" w:line="240" w:lineRule="auto"/>
        <w:rPr>
          <w:rFonts w:ascii="inherit" w:eastAsia="Times New Roman" w:hAnsi="inherit" w:cs="Times New Roman"/>
          <w:color w:val="000000"/>
          <w:sz w:val="24"/>
          <w:szCs w:val="24"/>
        </w:rPr>
      </w:pPr>
    </w:p>
    <w:p w14:paraId="71CD688E" w14:textId="77777777" w:rsidR="006C5DBE" w:rsidRDefault="006C5DBE" w:rsidP="005568BA">
      <w:pPr>
        <w:spacing w:after="0" w:line="240" w:lineRule="auto"/>
        <w:rPr>
          <w:rFonts w:ascii="inherit" w:eastAsia="Times New Roman" w:hAnsi="inherit" w:cs="Times New Roman"/>
          <w:color w:val="000000"/>
          <w:sz w:val="24"/>
          <w:szCs w:val="24"/>
        </w:rPr>
      </w:pPr>
    </w:p>
    <w:p w14:paraId="703100BA" w14:textId="77777777" w:rsidR="006C5DBE" w:rsidRDefault="006C5DBE" w:rsidP="005568BA">
      <w:pPr>
        <w:spacing w:after="0" w:line="240" w:lineRule="auto"/>
        <w:rPr>
          <w:rFonts w:ascii="inherit" w:eastAsia="Times New Roman" w:hAnsi="inherit" w:cs="Times New Roman"/>
          <w:color w:val="000000"/>
          <w:sz w:val="24"/>
          <w:szCs w:val="24"/>
        </w:rPr>
      </w:pPr>
    </w:p>
    <w:p w14:paraId="22F5C433" w14:textId="77777777" w:rsidR="006C5DBE" w:rsidRDefault="006C5DBE" w:rsidP="005568BA">
      <w:pPr>
        <w:spacing w:after="0" w:line="240" w:lineRule="auto"/>
        <w:rPr>
          <w:rFonts w:ascii="inherit" w:eastAsia="Times New Roman" w:hAnsi="inherit" w:cs="Times New Roman"/>
          <w:color w:val="000000"/>
          <w:sz w:val="24"/>
          <w:szCs w:val="24"/>
        </w:rPr>
      </w:pPr>
    </w:p>
    <w:p w14:paraId="4974B045" w14:textId="77777777" w:rsidR="006C5DBE" w:rsidRPr="005568BA" w:rsidRDefault="006C5DBE" w:rsidP="005568BA">
      <w:pPr>
        <w:spacing w:after="0" w:line="240" w:lineRule="auto"/>
        <w:rPr>
          <w:rFonts w:ascii="inherit" w:eastAsia="Times New Roman" w:hAnsi="inherit" w:cs="Times New Roman"/>
          <w:color w:val="000000"/>
          <w:sz w:val="24"/>
          <w:szCs w:val="24"/>
        </w:rPr>
      </w:pPr>
    </w:p>
    <w:p w14:paraId="1C9B1572" w14:textId="77777777" w:rsidR="005568BA" w:rsidRPr="005568BA" w:rsidRDefault="00E86B81" w:rsidP="005568BA">
      <w:pPr>
        <w:numPr>
          <w:ilvl w:val="0"/>
          <w:numId w:val="6"/>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Explain the difference </w:t>
      </w:r>
      <w:r w:rsidRPr="005568BA">
        <w:rPr>
          <w:rFonts w:ascii="inherit" w:eastAsia="Times New Roman" w:hAnsi="inherit" w:cs="Times New Roman"/>
          <w:color w:val="000000"/>
          <w:sz w:val="24"/>
          <w:szCs w:val="24"/>
          <w:bdr w:val="none" w:sz="0" w:space="0" w:color="auto" w:frame="1"/>
        </w:rPr>
        <w:t>between an order and a bearer financial instrument. Is safety a concern?</w:t>
      </w:r>
    </w:p>
    <w:p w14:paraId="049269BE" w14:textId="77777777" w:rsidR="005568BA" w:rsidRDefault="00E86B81" w:rsidP="005568BA">
      <w:pPr>
        <w:spacing w:after="240" w:line="240" w:lineRule="auto"/>
        <w:rPr>
          <w:rFonts w:ascii="inherit" w:eastAsia="Times New Roman" w:hAnsi="inherit" w:cs="Times New Roman"/>
          <w:color w:val="000000"/>
          <w:sz w:val="24"/>
          <w:szCs w:val="24"/>
        </w:rPr>
      </w:pPr>
      <w:r w:rsidRPr="00505B27">
        <w:rPr>
          <w:rFonts w:ascii="inherit" w:eastAsia="Times New Roman" w:hAnsi="inherit" w:cs="Times New Roman"/>
          <w:noProof/>
          <w:color w:val="000000"/>
          <w:sz w:val="24"/>
          <w:szCs w:val="24"/>
        </w:rPr>
        <mc:AlternateContent>
          <mc:Choice Requires="wps">
            <w:drawing>
              <wp:anchor distT="45720" distB="45720" distL="114300" distR="114300" simplePos="0" relativeHeight="251669504" behindDoc="0" locked="0" layoutInCell="1" allowOverlap="1" wp14:anchorId="3F01A3C2" wp14:editId="3CF410E2">
                <wp:simplePos x="0" y="0"/>
                <wp:positionH relativeFrom="margin">
                  <wp:align>left</wp:align>
                </wp:positionH>
                <wp:positionV relativeFrom="paragraph">
                  <wp:posOffset>233680</wp:posOffset>
                </wp:positionV>
                <wp:extent cx="5314950" cy="13620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3620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669B42" w14:textId="77777777" w:rsidR="006C5DBE" w:rsidRDefault="00E86B81" w:rsidP="006C5DBE">
                            <w:r>
                              <w:t xml:space="preserve">An order paper requires an authentic signature from the payee for a transfer to happen. A bearer paper allows the transfer by merely ownership, meaning </w:t>
                            </w:r>
                            <w:r w:rsidRPr="000C2D44">
                              <w:t xml:space="preserve">anyone who bears the </w:t>
                            </w:r>
                            <w:r>
                              <w:t>paper</w:t>
                            </w:r>
                            <w:r w:rsidRPr="000C2D44">
                              <w:t xml:space="preserve"> c</w:t>
                            </w:r>
                            <w:r w:rsidRPr="000C2D44">
                              <w:t>an collect payment</w:t>
                            </w:r>
                            <w:r>
                              <w:t>.</w:t>
                            </w:r>
                          </w:p>
                          <w:p w14:paraId="0A5F1FDA" w14:textId="77777777" w:rsidR="000C2D44" w:rsidRDefault="00E86B81" w:rsidP="006C5DBE">
                            <w:r>
                              <w:t>Comparing the two, a bearer financial instrument is not as safe as an order paper.</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30" type="#_x0000_t202" style="width:418.5pt;height:107.25pt;margin-top:18.4pt;margin-left:0;mso-height-percent:0;mso-height-relative:margin;mso-position-horizontal:left;mso-position-horizontal-relative:margin;mso-width-percent:0;mso-width-relative:margin;mso-wrap-distance-bottom:3.6pt;mso-wrap-distance-left:9pt;mso-wrap-distance-right:9pt;mso-wrap-distance-top:3.6pt;position:absolute;v-text-anchor:top;z-index:251668480" fillcolor="white" stroked="t" strokecolor="#4472c4" strokeweight="1pt">
                <v:textbox>
                  <w:txbxContent>
                    <w:p w:rsidR="006C5DBE" w:rsidP="006C5DBE" w14:paraId="4C850129" w14:textId="0B6C6A21">
                      <w:r>
                        <w:t xml:space="preserve">An order paper requires an authentic signature from the payee for a transfer to happen. A bearer paper allows the transfer by merely ownership, meaning </w:t>
                      </w:r>
                      <w:r w:rsidRPr="000C2D44">
                        <w:t xml:space="preserve">anyone who bears the </w:t>
                      </w:r>
                      <w:r>
                        <w:t>paper</w:t>
                      </w:r>
                      <w:r w:rsidRPr="000C2D44">
                        <w:t xml:space="preserve"> can collect payment</w:t>
                      </w:r>
                      <w:r>
                        <w:t>.</w:t>
                      </w:r>
                    </w:p>
                    <w:p w:rsidR="000C2D44" w:rsidP="006C5DBE" w14:paraId="19D1202B" w14:textId="7212DD21">
                      <w:r>
                        <w:t>Comparing the two, a bearer financial instrument is not as safe as an order paper.</w:t>
                      </w:r>
                    </w:p>
                  </w:txbxContent>
                </v:textbox>
                <w10:wrap type="square"/>
              </v:shape>
            </w:pict>
          </mc:Fallback>
        </mc:AlternateContent>
      </w:r>
    </w:p>
    <w:p w14:paraId="7FEF61C1" w14:textId="77777777" w:rsidR="006C5DBE" w:rsidRPr="005568BA" w:rsidRDefault="006C5DBE" w:rsidP="005568BA">
      <w:pPr>
        <w:spacing w:after="240" w:line="240" w:lineRule="auto"/>
        <w:rPr>
          <w:rFonts w:ascii="inherit" w:eastAsia="Times New Roman" w:hAnsi="inherit" w:cs="Times New Roman"/>
          <w:color w:val="000000"/>
          <w:sz w:val="24"/>
          <w:szCs w:val="24"/>
        </w:rPr>
      </w:pPr>
    </w:p>
    <w:p w14:paraId="1D86311C"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4016CCB9"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45B8AEF9"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591D5129"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54BF6F67"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4F21B6A2" w14:textId="77777777" w:rsidR="000C2D44" w:rsidRDefault="000C2D44" w:rsidP="005568BA">
      <w:pPr>
        <w:spacing w:after="0" w:line="240" w:lineRule="auto"/>
        <w:jc w:val="center"/>
        <w:rPr>
          <w:rFonts w:ascii="Times New Roman" w:eastAsia="Times New Roman" w:hAnsi="Times New Roman" w:cs="Times New Roman"/>
          <w:bCs/>
          <w:color w:val="000000"/>
          <w:sz w:val="24"/>
          <w:szCs w:val="24"/>
          <w:bdr w:val="none" w:sz="0" w:space="0" w:color="auto" w:frame="1"/>
        </w:rPr>
      </w:pPr>
    </w:p>
    <w:p w14:paraId="5B683420"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bCs/>
          <w:color w:val="000000"/>
          <w:sz w:val="24"/>
          <w:szCs w:val="24"/>
          <w:bdr w:val="none" w:sz="0" w:space="0" w:color="auto" w:frame="1"/>
        </w:rPr>
        <w:t>Class Discussion: Case 25.2 First Investment Co v. Anderson (p. 542).</w:t>
      </w:r>
    </w:p>
    <w:p w14:paraId="47A49035"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 xml:space="preserve">The case illustrates important principles concerning the rights of </w:t>
      </w:r>
      <w:r w:rsidRPr="005568BA">
        <w:rPr>
          <w:rFonts w:ascii="Times New Roman" w:eastAsia="Times New Roman" w:hAnsi="Times New Roman" w:cs="Times New Roman"/>
          <w:color w:val="000000"/>
          <w:sz w:val="24"/>
          <w:szCs w:val="24"/>
          <w:bdr w:val="none" w:sz="0" w:space="0" w:color="auto" w:frame="1"/>
        </w:rPr>
        <w:t>creditors who accept transferred notes and the rights of the payee who signed a promissory note.</w:t>
      </w:r>
    </w:p>
    <w:p w14:paraId="0F3D2044"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Mr. Anderson promised by signed note to pay on schedule for delivery of trees from a nursery. The nursery transferred Anderson's note to a financial company as</w:t>
      </w:r>
      <w:r w:rsidRPr="005568BA">
        <w:rPr>
          <w:rFonts w:ascii="Times New Roman" w:eastAsia="Times New Roman" w:hAnsi="Times New Roman" w:cs="Times New Roman"/>
          <w:color w:val="000000"/>
          <w:sz w:val="24"/>
          <w:szCs w:val="24"/>
          <w:bdr w:val="none" w:sz="0" w:space="0" w:color="auto" w:frame="1"/>
        </w:rPr>
        <w:t xml:space="preserve"> a negotiable instrument. When the nursery failed to deliver the trees, Anderson refused to pay the company holding his note—then the investment firm sued him and claimed they had no obligation regarding the delivery of trees.</w:t>
      </w:r>
    </w:p>
    <w:p w14:paraId="370B9078" w14:textId="77777777" w:rsidR="005568BA" w:rsidRPr="005568BA" w:rsidRDefault="00E86B81"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You be the judge:</w:t>
      </w:r>
    </w:p>
    <w:p w14:paraId="51B2152C" w14:textId="77777777" w:rsidR="005568BA" w:rsidRPr="005568BA" w:rsidRDefault="00E86B81"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14:paraId="37E32110" w14:textId="77777777" w:rsidR="005568BA" w:rsidRPr="00DF21F3" w:rsidRDefault="00E86B81"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lastRenderedPageBreak/>
        <w:t xml:space="preserve">What was </w:t>
      </w:r>
      <w:r w:rsidRPr="005568BA">
        <w:rPr>
          <w:rFonts w:ascii="inherit" w:eastAsia="Times New Roman" w:hAnsi="inherit" w:cs="Times New Roman"/>
          <w:color w:val="000000"/>
          <w:sz w:val="24"/>
          <w:szCs w:val="24"/>
          <w:bdr w:val="none" w:sz="0" w:space="0" w:color="auto" w:frame="1"/>
        </w:rPr>
        <w:t>the defense of First Investment to Anderson’s claim he owed them no money for no trees?</w:t>
      </w:r>
    </w:p>
    <w:p w14:paraId="1F7821C1" w14:textId="77777777" w:rsidR="00DF21F3" w:rsidRDefault="00DF21F3" w:rsidP="00DF21F3">
      <w:pPr>
        <w:spacing w:after="0" w:line="240" w:lineRule="auto"/>
        <w:rPr>
          <w:rFonts w:ascii="inherit" w:eastAsia="Times New Roman" w:hAnsi="inherit" w:cs="Times New Roman"/>
          <w:color w:val="000000"/>
          <w:sz w:val="24"/>
          <w:szCs w:val="24"/>
        </w:rPr>
      </w:pPr>
    </w:p>
    <w:p w14:paraId="5EB3B2C4" w14:textId="77777777" w:rsidR="00DF21F3" w:rsidRPr="00DF21F3" w:rsidRDefault="00E86B81" w:rsidP="00DF21F3">
      <w:pPr>
        <w:spacing w:after="0" w:line="240" w:lineRule="auto"/>
        <w:rPr>
          <w:rFonts w:ascii="inherit" w:eastAsia="Times New Roman" w:hAnsi="inherit" w:cs="Times New Roman"/>
          <w:color w:val="000000"/>
          <w:sz w:val="24"/>
          <w:szCs w:val="24"/>
        </w:rPr>
      </w:pPr>
      <w:r w:rsidRPr="00DF21F3">
        <w:rPr>
          <w:rFonts w:ascii="inherit" w:eastAsia="Times New Roman" w:hAnsi="inherit" w:cs="Times New Roman"/>
          <w:noProof/>
          <w:color w:val="000000"/>
          <w:sz w:val="24"/>
          <w:szCs w:val="24"/>
        </w:rPr>
        <mc:AlternateContent>
          <mc:Choice Requires="wps">
            <w:drawing>
              <wp:anchor distT="45720" distB="45720" distL="114300" distR="114300" simplePos="0" relativeHeight="251671552" behindDoc="0" locked="0" layoutInCell="1" allowOverlap="1" wp14:anchorId="7A388BE9" wp14:editId="665C535E">
                <wp:simplePos x="0" y="0"/>
                <wp:positionH relativeFrom="margin">
                  <wp:align>center</wp:align>
                </wp:positionH>
                <wp:positionV relativeFrom="paragraph">
                  <wp:posOffset>8890</wp:posOffset>
                </wp:positionV>
                <wp:extent cx="5105400" cy="676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6762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5B7FA33" w14:textId="77777777" w:rsidR="00DF21F3" w:rsidRDefault="00E86B81">
                            <w:r>
                              <w:t>The payment was entirely based on the trees, hence when the nursery failed to deliver the trees, it was justifiable to withdraw the payment.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31" type="#_x0000_t202" style="width:402pt;height:53.25pt;margin-top:0.7pt;margin-left:0;mso-height-percent:0;mso-height-relative:margin;mso-position-horizontal:center;mso-position-horizontal-relative:margin;mso-width-percent:0;mso-width-relative:margin;mso-wrap-distance-bottom:3.6pt;mso-wrap-distance-left:9pt;mso-wrap-distance-right:9pt;mso-wrap-distance-top:3.6pt;position:absolute;v-text-anchor:top;z-index:251670528" fillcolor="white" stroked="t" strokecolor="#4472c4" strokeweight="1pt">
                <v:textbox>
                  <w:txbxContent>
                    <w:p w:rsidR="00DF21F3" w14:paraId="189A4DF0" w14:textId="6745CA50">
                      <w:r>
                        <w:t>The payment was entirely based on the trees, hence when the nursery failed to deliver the trees, it was justifiable to withdraw the payment. 
</w:t>
                      </w:r>
                    </w:p>
                  </w:txbxContent>
                </v:textbox>
                <w10:wrap type="square"/>
              </v:shape>
            </w:pict>
          </mc:Fallback>
        </mc:AlternateContent>
      </w:r>
    </w:p>
    <w:p w14:paraId="2EDDF840" w14:textId="77777777" w:rsidR="005568BA" w:rsidRPr="005568BA" w:rsidRDefault="00E86B81"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14:paraId="14896A12" w14:textId="77777777" w:rsidR="00DF21F3" w:rsidRDefault="00DF21F3" w:rsidP="00DF21F3">
      <w:pPr>
        <w:spacing w:after="0" w:line="240" w:lineRule="auto"/>
        <w:rPr>
          <w:rFonts w:ascii="inherit" w:eastAsia="Times New Roman" w:hAnsi="inherit" w:cs="Times New Roman"/>
          <w:color w:val="000000"/>
          <w:sz w:val="24"/>
          <w:szCs w:val="24"/>
        </w:rPr>
      </w:pPr>
    </w:p>
    <w:p w14:paraId="76B6FE91" w14:textId="77777777" w:rsidR="00DF21F3" w:rsidRPr="00DF21F3" w:rsidRDefault="00DF21F3" w:rsidP="00DF21F3">
      <w:pPr>
        <w:spacing w:after="0" w:line="240" w:lineRule="auto"/>
        <w:rPr>
          <w:rFonts w:ascii="inherit" w:eastAsia="Times New Roman" w:hAnsi="inherit" w:cs="Times New Roman"/>
          <w:color w:val="000000"/>
          <w:sz w:val="24"/>
          <w:szCs w:val="24"/>
        </w:rPr>
      </w:pPr>
    </w:p>
    <w:p w14:paraId="6550EC32" w14:textId="77777777" w:rsidR="005568BA" w:rsidRPr="005568BA" w:rsidRDefault="00E86B81"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How was the </w:t>
      </w:r>
      <w:r w:rsidRPr="005568BA">
        <w:rPr>
          <w:rFonts w:ascii="inherit" w:eastAsia="Times New Roman" w:hAnsi="inherit" w:cs="Times New Roman"/>
          <w:color w:val="000000"/>
          <w:sz w:val="24"/>
          <w:szCs w:val="24"/>
          <w:bdr w:val="none" w:sz="0" w:space="0" w:color="auto" w:frame="1"/>
        </w:rPr>
        <w:t>writing of Anderson's note vital to the negotiability and obligations of either party?</w:t>
      </w:r>
    </w:p>
    <w:p w14:paraId="6C822D2D" w14:textId="77777777" w:rsidR="005568BA" w:rsidRDefault="005568BA" w:rsidP="005568BA">
      <w:pPr>
        <w:spacing w:after="0" w:line="240" w:lineRule="auto"/>
        <w:rPr>
          <w:rFonts w:ascii="inherit" w:eastAsia="Times New Roman" w:hAnsi="inherit" w:cs="Times New Roman"/>
          <w:color w:val="000000"/>
          <w:sz w:val="24"/>
          <w:szCs w:val="24"/>
          <w:bdr w:val="none" w:sz="0" w:space="0" w:color="auto" w:frame="1"/>
        </w:rPr>
      </w:pPr>
    </w:p>
    <w:p w14:paraId="590C1095" w14:textId="77777777" w:rsidR="00DF21F3" w:rsidRDefault="00E86B81" w:rsidP="005568BA">
      <w:pPr>
        <w:spacing w:after="0" w:line="240" w:lineRule="auto"/>
        <w:rPr>
          <w:rFonts w:ascii="inherit" w:eastAsia="Times New Roman" w:hAnsi="inherit" w:cs="Times New Roman"/>
          <w:color w:val="000000"/>
          <w:sz w:val="24"/>
          <w:szCs w:val="24"/>
          <w:bdr w:val="none" w:sz="0" w:space="0" w:color="auto" w:frame="1"/>
        </w:rPr>
      </w:pPr>
      <w:r w:rsidRPr="00DF21F3">
        <w:rPr>
          <w:rFonts w:ascii="inherit" w:eastAsia="Times New Roman" w:hAnsi="inherit" w:cs="Times New Roman"/>
          <w:noProof/>
          <w:color w:val="000000"/>
          <w:sz w:val="24"/>
          <w:szCs w:val="24"/>
        </w:rPr>
        <mc:AlternateContent>
          <mc:Choice Requires="wps">
            <w:drawing>
              <wp:anchor distT="45720" distB="45720" distL="114300" distR="114300" simplePos="0" relativeHeight="251673600" behindDoc="0" locked="0" layoutInCell="1" allowOverlap="1" wp14:anchorId="7EF7225F" wp14:editId="69EEA5EC">
                <wp:simplePos x="0" y="0"/>
                <wp:positionH relativeFrom="margin">
                  <wp:align>center</wp:align>
                </wp:positionH>
                <wp:positionV relativeFrom="paragraph">
                  <wp:posOffset>6985</wp:posOffset>
                </wp:positionV>
                <wp:extent cx="5105400" cy="67627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6762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44E6BED" w14:textId="77777777" w:rsidR="00DF21F3" w:rsidRDefault="00E86B81" w:rsidP="00DF21F3">
                            <w:r>
                              <w:t xml:space="preserve">The writing acted as evidence </w:t>
                            </w:r>
                            <w:r w:rsidR="00EB2669">
                              <w:t>of negotiation for both parties. From Anderson’s point of view, having the note was equally effective as making a payment/ ordering upfront. On the nursery’s point of view, the trees were cleared for delivery.</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32" type="#_x0000_t202" style="width:402pt;height:53.25pt;margin-top:0.55pt;margin-left:0;mso-height-percent:0;mso-height-relative:margin;mso-position-horizontal:center;mso-position-horizontal-relative:margin;mso-width-percent:0;mso-width-relative:margin;mso-wrap-distance-bottom:3.6pt;mso-wrap-distance-left:9pt;mso-wrap-distance-right:9pt;mso-wrap-distance-top:3.6pt;position:absolute;v-text-anchor:top;z-index:251672576" fillcolor="white" stroked="t" strokecolor="#4472c4" strokeweight="1pt">
                <v:textbox>
                  <w:txbxContent>
                    <w:p w:rsidR="00DF21F3" w:rsidP="00DF21F3" w14:paraId="6F01FCAD" w14:textId="19B57669">
                      <w:r>
                        <w:t xml:space="preserve">The writing acted as evidence </w:t>
                      </w:r>
                      <w:r w:rsidR="00EB2669">
                        <w:t>of negotiation for both parties. From Anderson’s point of view, having the note was equally effective as making a payment/ ordering upfront. On the nursery’s point of view, the trees were cleared for delivery.</w:t>
                      </w:r>
                    </w:p>
                  </w:txbxContent>
                </v:textbox>
                <w10:wrap type="square"/>
              </v:shape>
            </w:pict>
          </mc:Fallback>
        </mc:AlternateContent>
      </w:r>
    </w:p>
    <w:p w14:paraId="3EE4FA12" w14:textId="77777777" w:rsidR="00DF21F3" w:rsidRDefault="00DF21F3" w:rsidP="005568BA">
      <w:pPr>
        <w:spacing w:after="0" w:line="240" w:lineRule="auto"/>
        <w:rPr>
          <w:rFonts w:ascii="inherit" w:eastAsia="Times New Roman" w:hAnsi="inherit" w:cs="Times New Roman"/>
          <w:color w:val="000000"/>
          <w:sz w:val="24"/>
          <w:szCs w:val="24"/>
          <w:bdr w:val="none" w:sz="0" w:space="0" w:color="auto" w:frame="1"/>
        </w:rPr>
      </w:pPr>
    </w:p>
    <w:p w14:paraId="715A6B7D" w14:textId="77777777" w:rsidR="00DF21F3" w:rsidRDefault="00DF21F3" w:rsidP="005568BA">
      <w:pPr>
        <w:spacing w:after="0" w:line="240" w:lineRule="auto"/>
        <w:rPr>
          <w:rFonts w:ascii="inherit" w:eastAsia="Times New Roman" w:hAnsi="inherit" w:cs="Times New Roman"/>
          <w:color w:val="000000"/>
          <w:sz w:val="24"/>
          <w:szCs w:val="24"/>
          <w:bdr w:val="none" w:sz="0" w:space="0" w:color="auto" w:frame="1"/>
        </w:rPr>
      </w:pPr>
    </w:p>
    <w:p w14:paraId="34DA8A47" w14:textId="77777777" w:rsidR="00DF21F3" w:rsidRDefault="00DF21F3" w:rsidP="005568BA">
      <w:pPr>
        <w:spacing w:after="0" w:line="240" w:lineRule="auto"/>
        <w:rPr>
          <w:rFonts w:ascii="inherit" w:eastAsia="Times New Roman" w:hAnsi="inherit" w:cs="Times New Roman"/>
          <w:color w:val="000000"/>
          <w:sz w:val="24"/>
          <w:szCs w:val="24"/>
          <w:bdr w:val="none" w:sz="0" w:space="0" w:color="auto" w:frame="1"/>
        </w:rPr>
      </w:pPr>
    </w:p>
    <w:p w14:paraId="3EF7A6FA" w14:textId="77777777" w:rsidR="005568BA" w:rsidRPr="005568BA" w:rsidRDefault="00E86B81"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Should Anderson be required to honor his promise or should he be released from the debt—explain your legal reasoning? </w:t>
      </w:r>
    </w:p>
    <w:p w14:paraId="3DCD8EDA" w14:textId="77777777" w:rsidR="005568BA" w:rsidRDefault="00E86B81">
      <w:r w:rsidRPr="00DF21F3">
        <w:rPr>
          <w:rFonts w:ascii="inherit" w:eastAsia="Times New Roman" w:hAnsi="inherit" w:cs="Times New Roman"/>
          <w:noProof/>
          <w:color w:val="000000"/>
          <w:sz w:val="24"/>
          <w:szCs w:val="24"/>
        </w:rPr>
        <mc:AlternateContent>
          <mc:Choice Requires="wps">
            <w:drawing>
              <wp:anchor distT="45720" distB="45720" distL="114300" distR="114300" simplePos="0" relativeHeight="251674624" behindDoc="0" locked="0" layoutInCell="1" allowOverlap="1" wp14:anchorId="0360420E" wp14:editId="1ED2B51B">
                <wp:simplePos x="0" y="0"/>
                <wp:positionH relativeFrom="margin">
                  <wp:align>center</wp:align>
                </wp:positionH>
                <wp:positionV relativeFrom="paragraph">
                  <wp:posOffset>283210</wp:posOffset>
                </wp:positionV>
                <wp:extent cx="5105400" cy="10477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0477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002CFD5" w14:textId="77777777" w:rsidR="00DF21F3" w:rsidRDefault="00E86B81" w:rsidP="00DF21F3">
                            <w:r>
                              <w:t>The status of the agreement, illustrate a defect on the</w:t>
                            </w:r>
                            <w:r>
                              <w:t xml:space="preserve"> nursery’s side in delivering trees and not Anderson failing to pay. Since the note was intended to pay for trees, and they were not delivered, it is just to release Anderson out of debt as illustrated in the </w:t>
                            </w:r>
                            <w:r w:rsidRPr="00EB2669">
                              <w:t>principles concerning the rights of creditors w</w:t>
                            </w:r>
                            <w:r w:rsidRPr="00EB2669">
                              <w:t>ho accept transferred notes and the rights of the payee who signed a promissory note.</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402pt;height:82.5pt;margin-top:22.3pt;margin-left:0;mso-height-percent:0;mso-height-relative:margin;mso-position-horizontal:center;mso-position-horizontal-relative:margin;mso-width-percent:0;mso-width-relative:margin;mso-wrap-distance-bottom:3.6pt;mso-wrap-distance-left:9pt;mso-wrap-distance-right:9pt;mso-wrap-distance-top:3.6pt;mso-wrap-style:square;position:absolute;visibility:visible;v-text-anchor:top;z-index:251675648" fillcolor="white" strokecolor="#4472c4" strokeweight="1pt">
                <v:textbox>
                  <w:txbxContent>
                    <w:p w:rsidR="00DF21F3" w:rsidP="00DF21F3" w14:paraId="50810304" w14:textId="0E19EFD9">
                      <w:r>
                        <w:t xml:space="preserve">The status of the agreement, illustrate a defect on the nursery’s side in delivering trees and not Anderson failing to pay. Since the note was intended to pay for trees, and they were not delivered, it is just to release Anderson out of debt as illustrated in the </w:t>
                      </w:r>
                      <w:r w:rsidRPr="00EB2669">
                        <w:t>principles concerning the rights of creditors who accept transferred notes and the rights of the payee who signed a promissory note.</w:t>
                      </w:r>
                    </w:p>
                  </w:txbxContent>
                </v:textbox>
                <w10:wrap type="square"/>
              </v:shape>
            </w:pict>
          </mc:Fallback>
        </mc:AlternateContent>
      </w:r>
    </w:p>
    <w:sectPr w:rsidR="005568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A017F" w14:textId="77777777" w:rsidR="00E86B81" w:rsidRDefault="00E86B81">
      <w:pPr>
        <w:spacing w:after="0" w:line="240" w:lineRule="auto"/>
      </w:pPr>
      <w:r>
        <w:separator/>
      </w:r>
    </w:p>
  </w:endnote>
  <w:endnote w:type="continuationSeparator" w:id="0">
    <w:p w14:paraId="33520DE8" w14:textId="77777777" w:rsidR="00E86B81" w:rsidRDefault="00E86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8B52D" w14:textId="77777777" w:rsidR="00E86B81" w:rsidRDefault="00E86B81">
      <w:pPr>
        <w:spacing w:after="0" w:line="240" w:lineRule="auto"/>
      </w:pPr>
      <w:r>
        <w:separator/>
      </w:r>
    </w:p>
  </w:footnote>
  <w:footnote w:type="continuationSeparator" w:id="0">
    <w:p w14:paraId="6293A4AB" w14:textId="77777777" w:rsidR="00E86B81" w:rsidRDefault="00E86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1AE5E" w14:textId="77777777" w:rsidR="006C5DBE" w:rsidRPr="005568BA" w:rsidRDefault="00E86B81" w:rsidP="005568BA">
    <w:pPr>
      <w:pStyle w:val="Header"/>
      <w:jc w:val="center"/>
      <w:rPr>
        <w:b/>
      </w:rPr>
    </w:pPr>
    <w:r w:rsidRPr="005568BA">
      <w:rPr>
        <w:b/>
      </w:rPr>
      <w:t>ONCE THE ASSIGNMENT IS ASSIGNED AND YOU HAVE READ THE DIRECTIONS MESSAGES ME FOR THE BOOK ACCESS I WILL PROVIDE ETEXTBOOK FOR THIS ASSIGNMENT!</w:t>
    </w:r>
  </w:p>
  <w:p w14:paraId="3B5B2949" w14:textId="77777777" w:rsidR="006C5DBE" w:rsidRDefault="006C5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B2744"/>
    <w:multiLevelType w:val="multilevel"/>
    <w:tmpl w:val="31806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B1543"/>
    <w:multiLevelType w:val="multilevel"/>
    <w:tmpl w:val="BEDA6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E34E0D"/>
    <w:multiLevelType w:val="multilevel"/>
    <w:tmpl w:val="1EA64F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56288D"/>
    <w:multiLevelType w:val="multilevel"/>
    <w:tmpl w:val="D600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531BFF"/>
    <w:multiLevelType w:val="multilevel"/>
    <w:tmpl w:val="5FF477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27EED"/>
    <w:multiLevelType w:val="hybridMultilevel"/>
    <w:tmpl w:val="746E185C"/>
    <w:lvl w:ilvl="0" w:tplc="0FBC0F28">
      <w:start w:val="1"/>
      <w:numFmt w:val="decimal"/>
      <w:lvlText w:val="%1."/>
      <w:lvlJc w:val="left"/>
      <w:pPr>
        <w:ind w:left="720" w:hanging="360"/>
      </w:pPr>
    </w:lvl>
    <w:lvl w:ilvl="1" w:tplc="F1DABDAE" w:tentative="1">
      <w:start w:val="1"/>
      <w:numFmt w:val="lowerLetter"/>
      <w:lvlText w:val="%2."/>
      <w:lvlJc w:val="left"/>
      <w:pPr>
        <w:ind w:left="1440" w:hanging="360"/>
      </w:pPr>
    </w:lvl>
    <w:lvl w:ilvl="2" w:tplc="5B88CF66" w:tentative="1">
      <w:start w:val="1"/>
      <w:numFmt w:val="lowerRoman"/>
      <w:lvlText w:val="%3."/>
      <w:lvlJc w:val="right"/>
      <w:pPr>
        <w:ind w:left="2160" w:hanging="180"/>
      </w:pPr>
    </w:lvl>
    <w:lvl w:ilvl="3" w:tplc="FDF2E362" w:tentative="1">
      <w:start w:val="1"/>
      <w:numFmt w:val="decimal"/>
      <w:lvlText w:val="%4."/>
      <w:lvlJc w:val="left"/>
      <w:pPr>
        <w:ind w:left="2880" w:hanging="360"/>
      </w:pPr>
    </w:lvl>
    <w:lvl w:ilvl="4" w:tplc="D706A33A" w:tentative="1">
      <w:start w:val="1"/>
      <w:numFmt w:val="lowerLetter"/>
      <w:lvlText w:val="%5."/>
      <w:lvlJc w:val="left"/>
      <w:pPr>
        <w:ind w:left="3600" w:hanging="360"/>
      </w:pPr>
    </w:lvl>
    <w:lvl w:ilvl="5" w:tplc="59B62D02" w:tentative="1">
      <w:start w:val="1"/>
      <w:numFmt w:val="lowerRoman"/>
      <w:lvlText w:val="%6."/>
      <w:lvlJc w:val="right"/>
      <w:pPr>
        <w:ind w:left="4320" w:hanging="180"/>
      </w:pPr>
    </w:lvl>
    <w:lvl w:ilvl="6" w:tplc="EE0E409C" w:tentative="1">
      <w:start w:val="1"/>
      <w:numFmt w:val="decimal"/>
      <w:lvlText w:val="%7."/>
      <w:lvlJc w:val="left"/>
      <w:pPr>
        <w:ind w:left="5040" w:hanging="360"/>
      </w:pPr>
    </w:lvl>
    <w:lvl w:ilvl="7" w:tplc="F0CC7522" w:tentative="1">
      <w:start w:val="1"/>
      <w:numFmt w:val="lowerLetter"/>
      <w:lvlText w:val="%8."/>
      <w:lvlJc w:val="left"/>
      <w:pPr>
        <w:ind w:left="5760" w:hanging="360"/>
      </w:pPr>
    </w:lvl>
    <w:lvl w:ilvl="8" w:tplc="F6BE8EBA" w:tentative="1">
      <w:start w:val="1"/>
      <w:numFmt w:val="lowerRoman"/>
      <w:lvlText w:val="%9."/>
      <w:lvlJc w:val="right"/>
      <w:pPr>
        <w:ind w:left="6480" w:hanging="180"/>
      </w:pPr>
    </w:lvl>
  </w:abstractNum>
  <w:abstractNum w:abstractNumId="6" w15:restartNumberingAfterBreak="0">
    <w:nsid w:val="57D012C8"/>
    <w:multiLevelType w:val="multilevel"/>
    <w:tmpl w:val="62FA9C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72494E"/>
    <w:multiLevelType w:val="multilevel"/>
    <w:tmpl w:val="D60AC7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8F7395"/>
    <w:multiLevelType w:val="multilevel"/>
    <w:tmpl w:val="DD1C1F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E33B65"/>
    <w:multiLevelType w:val="multilevel"/>
    <w:tmpl w:val="C6CC1A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8"/>
  </w:num>
  <w:num w:numId="4">
    <w:abstractNumId w:val="4"/>
  </w:num>
  <w:num w:numId="5">
    <w:abstractNumId w:val="9"/>
  </w:num>
  <w:num w:numId="6">
    <w:abstractNumId w:val="7"/>
  </w:num>
  <w:num w:numId="7">
    <w:abstractNumId w:val="3"/>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BA"/>
    <w:rsid w:val="000C2D44"/>
    <w:rsid w:val="000E2057"/>
    <w:rsid w:val="00266D1C"/>
    <w:rsid w:val="002E01CD"/>
    <w:rsid w:val="0045103F"/>
    <w:rsid w:val="00505B27"/>
    <w:rsid w:val="005568BA"/>
    <w:rsid w:val="005D44DE"/>
    <w:rsid w:val="006C5DBE"/>
    <w:rsid w:val="009E51E2"/>
    <w:rsid w:val="00A62B69"/>
    <w:rsid w:val="00CD0AAF"/>
    <w:rsid w:val="00DF21F3"/>
    <w:rsid w:val="00E26443"/>
    <w:rsid w:val="00E86B81"/>
    <w:rsid w:val="00EB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71DC"/>
  <w15:chartTrackingRefBased/>
  <w15:docId w15:val="{557184F1-880A-4370-8215-55E6523A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8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8BA"/>
    <w:rPr>
      <w:b/>
      <w:bCs/>
    </w:rPr>
  </w:style>
  <w:style w:type="paragraph" w:styleId="Header">
    <w:name w:val="header"/>
    <w:basedOn w:val="Normal"/>
    <w:link w:val="HeaderChar"/>
    <w:uiPriority w:val="99"/>
    <w:unhideWhenUsed/>
    <w:rsid w:val="0055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BA"/>
  </w:style>
  <w:style w:type="paragraph" w:styleId="Footer">
    <w:name w:val="footer"/>
    <w:basedOn w:val="Normal"/>
    <w:link w:val="FooterChar"/>
    <w:uiPriority w:val="99"/>
    <w:unhideWhenUsed/>
    <w:rsid w:val="0055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BA"/>
  </w:style>
  <w:style w:type="paragraph" w:styleId="ListParagraph">
    <w:name w:val="List Paragraph"/>
    <w:basedOn w:val="Normal"/>
    <w:uiPriority w:val="34"/>
    <w:qFormat/>
    <w:rsid w:val="00556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17FB7-32DF-4917-838C-38AAD7808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Azarria Tyson</dc:creator>
  <cp:lastModifiedBy>kabugi nguru</cp:lastModifiedBy>
  <cp:revision>2</cp:revision>
  <dcterms:created xsi:type="dcterms:W3CDTF">2019-11-17T20:24:00Z</dcterms:created>
  <dcterms:modified xsi:type="dcterms:W3CDTF">2019-11-17T20:24:00Z</dcterms:modified>
</cp:coreProperties>
</file>